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1" w:rsidRDefault="006717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17C1" w:rsidRDefault="006717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17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7C1" w:rsidRDefault="006717C1">
            <w:pPr>
              <w:pStyle w:val="ConsPlusNormal"/>
            </w:pPr>
            <w:r>
              <w:t>06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7C1" w:rsidRDefault="006717C1">
            <w:pPr>
              <w:pStyle w:val="ConsPlusNormal"/>
              <w:jc w:val="right"/>
            </w:pPr>
            <w:r>
              <w:t>N 184</w:t>
            </w:r>
          </w:p>
        </w:tc>
      </w:tr>
    </w:tbl>
    <w:p w:rsidR="006717C1" w:rsidRDefault="00671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7C1" w:rsidRDefault="006717C1">
      <w:pPr>
        <w:pStyle w:val="ConsPlusNormal"/>
        <w:jc w:val="center"/>
      </w:pPr>
    </w:p>
    <w:p w:rsidR="006717C1" w:rsidRDefault="006717C1">
      <w:pPr>
        <w:pStyle w:val="ConsPlusTitle"/>
        <w:jc w:val="center"/>
      </w:pPr>
      <w:r>
        <w:t>УКАЗ</w:t>
      </w:r>
    </w:p>
    <w:p w:rsidR="006717C1" w:rsidRDefault="006717C1">
      <w:pPr>
        <w:pStyle w:val="ConsPlusTitle"/>
        <w:jc w:val="center"/>
      </w:pPr>
      <w:r>
        <w:t>ПРЕЗИДЕНТА КАРАЧАЕВО-ЧЕРКЕССКОЙ РЕСПУБЛИКИ</w:t>
      </w:r>
    </w:p>
    <w:p w:rsidR="006717C1" w:rsidRDefault="006717C1">
      <w:pPr>
        <w:pStyle w:val="ConsPlusTitle"/>
        <w:jc w:val="center"/>
      </w:pPr>
    </w:p>
    <w:p w:rsidR="006717C1" w:rsidRDefault="006717C1">
      <w:pPr>
        <w:pStyle w:val="ConsPlusTitle"/>
        <w:jc w:val="center"/>
      </w:pPr>
      <w:r>
        <w:t>О ВНЕСЕНИИ ИЗМЕНЕНИЙ В УКАЗ ПРЕЗИДЕНТА</w:t>
      </w:r>
    </w:p>
    <w:p w:rsidR="006717C1" w:rsidRDefault="006717C1">
      <w:pPr>
        <w:pStyle w:val="ConsPlusTitle"/>
        <w:jc w:val="center"/>
      </w:pPr>
      <w:r>
        <w:t>КАРАЧАЕВО-ЧЕРКЕССКОЙ РЕСПУБЛИКИ ОТ 14.07.2009 N 107</w:t>
      </w:r>
    </w:p>
    <w:p w:rsidR="006717C1" w:rsidRDefault="006717C1">
      <w:pPr>
        <w:pStyle w:val="ConsPlusTitle"/>
        <w:jc w:val="center"/>
      </w:pPr>
      <w:r>
        <w:t>"ОБ УТВЕРЖДЕНИИ ПОРЯДКА ОРГАНИЗАЦИИ И ПРОВЕДЕНИЯ</w:t>
      </w:r>
    </w:p>
    <w:p w:rsidR="006717C1" w:rsidRDefault="006717C1">
      <w:pPr>
        <w:pStyle w:val="ConsPlusTitle"/>
        <w:jc w:val="center"/>
      </w:pPr>
      <w:r>
        <w:t>АНТИКОРРУПЦИОННОЙ ЭКСПЕРТИЗЫ ПРОЕКТОВ НОРМАТИВНЫХ</w:t>
      </w:r>
    </w:p>
    <w:p w:rsidR="006717C1" w:rsidRDefault="006717C1">
      <w:pPr>
        <w:pStyle w:val="ConsPlusTitle"/>
        <w:jc w:val="center"/>
      </w:pPr>
      <w:r>
        <w:t>ПРАВОВЫХ АКТОВ КАРАЧАЕВО-ЧЕРКЕССКОЙ РЕСПУБЛИКИ</w:t>
      </w:r>
    </w:p>
    <w:p w:rsidR="006717C1" w:rsidRDefault="006717C1">
      <w:pPr>
        <w:pStyle w:val="ConsPlusTitle"/>
        <w:jc w:val="center"/>
      </w:pPr>
      <w:r>
        <w:t>И ИНЫХ ДОКУМЕНТОВ"</w:t>
      </w:r>
    </w:p>
    <w:p w:rsidR="006717C1" w:rsidRDefault="006717C1">
      <w:pPr>
        <w:pStyle w:val="ConsPlusNormal"/>
        <w:jc w:val="center"/>
      </w:pPr>
    </w:p>
    <w:p w:rsidR="006717C1" w:rsidRDefault="006717C1">
      <w:pPr>
        <w:pStyle w:val="ConsPlusNormal"/>
        <w:ind w:firstLine="540"/>
        <w:jc w:val="both"/>
      </w:pPr>
      <w:r>
        <w:t xml:space="preserve">В целях приведения нормативного правового акта Карачаево-Черкесской Республики в соответствие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постановляю: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Карачаево-Черкесской Республики от 14.07.2009 N 107 "Об утверждении Порядка организации и проведения антикоррупционной экспертизы проектов нормативных правовых актов Карачаево-Черкесской Республики и иных документов" следующие изменения: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Наименование</w:t>
        </w:r>
      </w:hyperlink>
      <w:r>
        <w:t xml:space="preserve"> Указа изложить в следующей редакции: "Об утверждении Порядка организации и проведения антикоррупционной экспертизы нормативных правовых актов Карачаево-Черкесской Республики и их проектов".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преамбуле</w:t>
        </w:r>
      </w:hyperlink>
      <w:r>
        <w:t xml:space="preserve"> слова "и иных документах" исключить.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3. В </w:t>
      </w:r>
      <w:hyperlink r:id="rId11" w:history="1">
        <w:r>
          <w:rPr>
            <w:color w:val="0000FF"/>
          </w:rPr>
          <w:t>пункте 1</w:t>
        </w:r>
      </w:hyperlink>
      <w:r>
        <w:t xml:space="preserve"> и далее по всему тексту Указа и приложения к нему слова "Порядок организации и проведения антикоррупционной экспертизы проектов нормативных правовых актов Карачаево-Черкесской Республики и иных документов" заменить словами "Порядок организации и проведения антикоррупционной экспертизы нормативных правовых актов Карачаево-Черкесской Республики и их проектов" в соответствующих падежах.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"2. Установить, что указанный Порядок применяется при проведении антикоррупционной экспертизы действующих нормативных правовых актов Карачаево-Черкесской Республики, проектов нормативных правовых актов Карачаево-Черкесской Республики, принимаемых Президентом Карачаево-Черкесской Республики, Правительством Карачаево-Черкесской Республики и его Президиумом, Администрацией Президента Карачаево-Черкесской Республики, органами исполнительной власти Карачаево-Черкесской Республики</w:t>
      </w:r>
      <w:proofErr w:type="gramStart"/>
      <w:r>
        <w:t>.".</w:t>
      </w:r>
      <w:proofErr w:type="gramEnd"/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5. В </w:t>
      </w:r>
      <w:hyperlink r:id="rId13" w:history="1">
        <w:r>
          <w:rPr>
            <w:color w:val="0000FF"/>
          </w:rPr>
          <w:t>пункте 2</w:t>
        </w:r>
      </w:hyperlink>
      <w:r>
        <w:t xml:space="preserve"> приложения к Указу и далее по всему тексту слова "а также правовых актов ненормативного характера", "Аппаратом Правительства Карачаево-Черкесской Республики" в соответствующих падежах исключить.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3</w:t>
        </w:r>
      </w:hyperlink>
      <w:r>
        <w:t xml:space="preserve"> приложения к Указу изложить в следующей редакции: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"3. 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</w:t>
      </w:r>
      <w:r>
        <w:lastRenderedPageBreak/>
        <w:t>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Методика).".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Подпункт 4.3</w:t>
        </w:r>
      </w:hyperlink>
      <w:r>
        <w:t>. приложения к Указу изложить в следующей редакции: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"4.3. Антикоррупционная экспертиза действующих нормативных правовых актов проводится: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4.3.1. Юридическими службами, иными специалистами и (или) структурными подразделениями, применяющими соответствующие нормативные правовые акты Карачаево-Черкесской Республики, - при мониторинге их применения.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4.3.2. Комиссией по противодействию коррупции в сфере нормотворчества: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1) по решению Комиссии в случае длительного неприведения (более 3 месяцев) нормативного правового акта Карачаево-Черкесской Республики в соответствие с заключением по результатам антикоррупционной экспертизы;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2) на основании соответствующего письменного обращения организации или гражданина в адрес руководителя органа государственной власти Карачаево-Черкесской Республики (далее - обращение);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3) по инициативе члена Комиссии</w:t>
      </w:r>
      <w:proofErr w:type="gramStart"/>
      <w:r>
        <w:t>.".</w:t>
      </w:r>
      <w:proofErr w:type="gramEnd"/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8. </w:t>
      </w:r>
      <w:hyperlink r:id="rId16" w:history="1">
        <w:r>
          <w:rPr>
            <w:color w:val="0000FF"/>
          </w:rPr>
          <w:t>Абзац второй пункта 6</w:t>
        </w:r>
      </w:hyperlink>
      <w:r>
        <w:t xml:space="preserve">, </w:t>
      </w:r>
      <w:hyperlink r:id="rId17" w:history="1">
        <w:r>
          <w:rPr>
            <w:color w:val="0000FF"/>
          </w:rPr>
          <w:t>абзац второй пункта 10</w:t>
        </w:r>
      </w:hyperlink>
      <w:r>
        <w:t xml:space="preserve"> приложения к Указу признать утратившими силу.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9. В </w:t>
      </w:r>
      <w:hyperlink r:id="rId18" w:history="1">
        <w:r>
          <w:rPr>
            <w:color w:val="0000FF"/>
          </w:rPr>
          <w:t>пункте 7</w:t>
        </w:r>
      </w:hyperlink>
      <w:r>
        <w:t xml:space="preserve"> приложения к Указу и далее по всему тексту слова "коррупционные факторы" заменить словами "коррупциогенные факторы" в соответствующих падежах.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10. </w:t>
      </w:r>
      <w:hyperlink r:id="rId19" w:history="1">
        <w:r>
          <w:rPr>
            <w:color w:val="0000FF"/>
          </w:rPr>
          <w:t>Пункты 12</w:t>
        </w:r>
      </w:hyperlink>
      <w:r>
        <w:t xml:space="preserve">, </w:t>
      </w:r>
      <w:hyperlink r:id="rId20" w:history="1">
        <w:r>
          <w:rPr>
            <w:color w:val="0000FF"/>
          </w:rPr>
          <w:t>13</w:t>
        </w:r>
      </w:hyperlink>
      <w:r>
        <w:t xml:space="preserve"> и </w:t>
      </w:r>
      <w:hyperlink r:id="rId21" w:history="1">
        <w:r>
          <w:rPr>
            <w:color w:val="0000FF"/>
          </w:rPr>
          <w:t>15</w:t>
        </w:r>
      </w:hyperlink>
      <w:r>
        <w:t xml:space="preserve"> приложения к Указу изложить в следующей редакции: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"12. Государственно-правовое управление Президента и Правительства Карачаево-Черкесской Республики проводит антикоррупционную экспертизу проектов нормативных правовых актов, поступающих на юридическую (правовую) экспертизу.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13. В случае отсутствия выявленных коррупциогенных факторов по результатам проведенной Государственно-правовым управлением Президента и Правительства Карачаево-Черкесской Республики антикоррупционной </w:t>
      </w:r>
      <w:proofErr w:type="gramStart"/>
      <w:r>
        <w:t>экспертизы</w:t>
      </w:r>
      <w:proofErr w:type="gramEnd"/>
      <w:r>
        <w:t xml:space="preserve"> представленный проект согласовывается в форме визирования без подготовки отдельного письменного заключения.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В случае выявления коррупциогенных факторов результаты антикоррупционной экспертизы, проводимой Государственно-правовым управлением Президента и Правительства Карачаево-Черкесской Республики, отражаются либо в заключении, подготавливаемом по итогам юридической (правовой) экспертизы проекта правового акта, либо в самостоятельном заключении. При этом выявленные коррупциогенные факторы отражаются в Таблице коррупциогенных факторов нормативных правовых актов Карачаево-Черкесской Республики и проектов нормативных правовых актов Карачаево-Черкесской Республики (далее - Таблица коррупциогенных факторов) по форме согласно приложению к настоящему Порядку.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Таблица коррупциогенных факторов оформляется приложением к документам, отражающим результаты антикоррупционной экспертизы.</w:t>
      </w:r>
    </w:p>
    <w:p w:rsidR="006717C1" w:rsidRDefault="006717C1">
      <w:pPr>
        <w:pStyle w:val="ConsPlusNormal"/>
        <w:spacing w:before="220"/>
        <w:ind w:firstLine="540"/>
        <w:jc w:val="both"/>
      </w:pPr>
      <w:proofErr w:type="gramStart"/>
      <w:r>
        <w:t xml:space="preserve">Таблица коррупциогенных факторов заполняется в последовательности, установленной в соответствии с Методикой, с указанием норм (разделов, глав, статей, частей, пунктов, подпунктов, </w:t>
      </w:r>
      <w:r>
        <w:lastRenderedPageBreak/>
        <w:t>абзацев), в которых они обнаружены.</w:t>
      </w:r>
      <w:proofErr w:type="gramEnd"/>
    </w:p>
    <w:p w:rsidR="006717C1" w:rsidRDefault="006717C1">
      <w:pPr>
        <w:pStyle w:val="ConsPlusNormal"/>
        <w:spacing w:before="220"/>
        <w:ind w:firstLine="540"/>
        <w:jc w:val="both"/>
      </w:pPr>
      <w:r>
        <w:t>Выявленные при проведении антикоррупционной экспертизы положения, не относящиеся, в соответствии с Методикой, к коррупциогенным факторам, но которые могут способствовать созданию условий для проявления коррупции, также указываются в Таблице коррупциогенных факторов и документах, отражающих результаты антикоррупционной экспертизы.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В документе, отражающем результаты антикоррупционной экспертизы, должна быть обоснована (мотивирована) позиция по каждому выявленному коррупциогенному фактору, а также могут быть отражены возможные негативные последствия сохранения в проекте нормативного правового акта выявленных коррупциогенных факторов и предусмотрены рекомендации по доработке проекта нормативного правового акта в целях устранения выявленных в них коррупциогенных факторов</w:t>
      </w:r>
      <w:proofErr w:type="gramStart"/>
      <w:r>
        <w:t>.".</w:t>
      </w:r>
      <w:proofErr w:type="gramEnd"/>
    </w:p>
    <w:p w:rsidR="006717C1" w:rsidRDefault="006717C1">
      <w:pPr>
        <w:pStyle w:val="ConsPlusNormal"/>
        <w:spacing w:before="220"/>
        <w:ind w:firstLine="540"/>
        <w:jc w:val="both"/>
      </w:pPr>
      <w:r>
        <w:t>"15. Антикоррупционная экспертиза действующих нормативных правовых актов, в том числе ведомственных, проводится при мониторинге их применения юридическими службами, иными специалистами и (или) структурными подразделениями, применяющими соответствующие нормативные правовые акты Карачаево-Черкесской Республики</w:t>
      </w:r>
      <w:proofErr w:type="gramStart"/>
      <w:r>
        <w:t>.".</w:t>
      </w:r>
      <w:proofErr w:type="gramEnd"/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11. </w:t>
      </w:r>
      <w:hyperlink r:id="rId22" w:history="1">
        <w:r>
          <w:rPr>
            <w:color w:val="0000FF"/>
          </w:rPr>
          <w:t>Абзац первый пункта 16</w:t>
        </w:r>
      </w:hyperlink>
      <w:r>
        <w:t xml:space="preserve"> приложения к Указу изложить в следующей редакции: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"Антикоррупционная экспертиза действующих ведомственных нормативных правовых актов может также проводиться юридическими службами по поручению руководителей органов исполнительной власти Карачаево-Черкесской Республики, правовое обеспечение деятельности которых они осуществляют</w:t>
      </w:r>
      <w:proofErr w:type="gramStart"/>
      <w:r>
        <w:t>.".</w:t>
      </w:r>
      <w:proofErr w:type="gramEnd"/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12. </w:t>
      </w:r>
      <w:hyperlink r:id="rId23" w:history="1">
        <w:r>
          <w:rPr>
            <w:color w:val="0000FF"/>
          </w:rPr>
          <w:t>Пункт 17</w:t>
        </w:r>
      </w:hyperlink>
      <w:r>
        <w:t xml:space="preserve"> приложения к Указу изложить в следующей редакции: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>"17.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</w:t>
      </w:r>
      <w:proofErr w:type="gramStart"/>
      <w:r>
        <w:t>.".</w:t>
      </w:r>
      <w:proofErr w:type="gramEnd"/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13. В </w:t>
      </w:r>
      <w:hyperlink r:id="rId24" w:history="1">
        <w:r>
          <w:rPr>
            <w:color w:val="0000FF"/>
          </w:rPr>
          <w:t>пункте 19</w:t>
        </w:r>
      </w:hyperlink>
      <w:r>
        <w:t xml:space="preserve"> приложения к Указу и далее по всему тексту слова "Управление пресс-службы и информации Президента Карачаево-Черкесской Республики" заменить словами "Управление пресс-службы и информации Президента и Правительства Карачаево-Черкесской Республики" в соответствующих падежах.</w:t>
      </w:r>
    </w:p>
    <w:p w:rsidR="006717C1" w:rsidRDefault="006717C1">
      <w:pPr>
        <w:pStyle w:val="ConsPlusNormal"/>
        <w:spacing w:before="220"/>
        <w:ind w:firstLine="540"/>
        <w:jc w:val="both"/>
      </w:pPr>
      <w:r>
        <w:t xml:space="preserve">14.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приложение к Указу приложением к Порядку следующего содержания:</w:t>
      </w:r>
    </w:p>
    <w:p w:rsidR="006717C1" w:rsidRDefault="006717C1">
      <w:pPr>
        <w:pStyle w:val="ConsPlusNormal"/>
        <w:jc w:val="right"/>
      </w:pPr>
    </w:p>
    <w:p w:rsidR="006717C1" w:rsidRDefault="006717C1">
      <w:pPr>
        <w:pStyle w:val="ConsPlusNormal"/>
        <w:jc w:val="right"/>
      </w:pPr>
      <w:r>
        <w:t>"Приложение</w:t>
      </w:r>
    </w:p>
    <w:p w:rsidR="006717C1" w:rsidRDefault="006717C1">
      <w:pPr>
        <w:pStyle w:val="ConsPlusNormal"/>
        <w:jc w:val="right"/>
      </w:pPr>
      <w:r>
        <w:t>к Порядку</w:t>
      </w:r>
    </w:p>
    <w:p w:rsidR="006717C1" w:rsidRDefault="006717C1">
      <w:pPr>
        <w:pStyle w:val="ConsPlusNormal"/>
        <w:jc w:val="right"/>
      </w:pPr>
    </w:p>
    <w:p w:rsidR="006717C1" w:rsidRDefault="006717C1">
      <w:pPr>
        <w:pStyle w:val="ConsPlusTitle"/>
        <w:jc w:val="center"/>
      </w:pPr>
      <w:r>
        <w:t>ТАБЛИЦА</w:t>
      </w:r>
    </w:p>
    <w:p w:rsidR="006717C1" w:rsidRDefault="006717C1">
      <w:pPr>
        <w:pStyle w:val="ConsPlusTitle"/>
        <w:jc w:val="center"/>
      </w:pPr>
      <w:r>
        <w:t>КОРРУПЦИОГЕННЫХ ФАКТОРОВ НОРМАТИВНЫХ ПРАВОВЫХ АКТОВ</w:t>
      </w:r>
    </w:p>
    <w:p w:rsidR="006717C1" w:rsidRDefault="006717C1">
      <w:pPr>
        <w:pStyle w:val="ConsPlusTitle"/>
        <w:jc w:val="center"/>
      </w:pPr>
      <w:r>
        <w:t>КАРАЧАЕВО-ЧЕРКЕССКОЙ РЕСПУБЛИКИ И ПРОЕКТОВ НОРМАТИВНЫХ</w:t>
      </w:r>
    </w:p>
    <w:p w:rsidR="006717C1" w:rsidRDefault="006717C1">
      <w:pPr>
        <w:pStyle w:val="ConsPlusTitle"/>
        <w:jc w:val="center"/>
      </w:pPr>
      <w:r>
        <w:t>ПРАВОВЫХ АКТОВ КАРАЧАЕВО-ЧЕРКЕССКОЙ РЕСПУБЛИКИ</w:t>
      </w:r>
    </w:p>
    <w:p w:rsidR="006717C1" w:rsidRDefault="006717C1">
      <w:pPr>
        <w:pStyle w:val="ConsPlusNormal"/>
        <w:jc w:val="center"/>
      </w:pPr>
    </w:p>
    <w:p w:rsidR="006717C1" w:rsidRDefault="006717C1">
      <w:pPr>
        <w:pStyle w:val="ConsPlusCell"/>
        <w:jc w:val="both"/>
      </w:pPr>
      <w:r>
        <w:rPr>
          <w:sz w:val="18"/>
        </w:rPr>
        <w:t>┌─────┬─────────────────────────────────────────────┬──────────────────────────┐</w:t>
      </w:r>
    </w:p>
    <w:p w:rsidR="006717C1" w:rsidRDefault="006717C1">
      <w:pPr>
        <w:pStyle w:val="ConsPlusCell"/>
        <w:jc w:val="both"/>
      </w:pPr>
      <w:r>
        <w:rPr>
          <w:sz w:val="18"/>
        </w:rPr>
        <w:t xml:space="preserve">│N 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/п│           Коррупциогенный фактор            │ Статья, пункт, подпункт 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│                                             │  нормативного правового  │</w:t>
      </w:r>
    </w:p>
    <w:p w:rsidR="006717C1" w:rsidRDefault="006717C1">
      <w:pPr>
        <w:pStyle w:val="ConsPlusCell"/>
        <w:jc w:val="both"/>
      </w:pPr>
      <w:r>
        <w:rPr>
          <w:sz w:val="18"/>
        </w:rPr>
        <w:t xml:space="preserve">│     │                                             │акта, в </w:t>
      </w:r>
      <w:proofErr w:type="gramStart"/>
      <w:r>
        <w:rPr>
          <w:sz w:val="18"/>
        </w:rPr>
        <w:t>которых</w:t>
      </w:r>
      <w:proofErr w:type="gramEnd"/>
      <w:r>
        <w:rPr>
          <w:sz w:val="18"/>
        </w:rPr>
        <w:t xml:space="preserve"> обнаружен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│                                             │  коррупциогенный фактор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├─────┴─────────────────────────────────────────────┴──────────────────────────┤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t>│ Факторы, устанавливающие для правоприменителя необоснованно широкие пределы  │</w:t>
      </w:r>
    </w:p>
    <w:p w:rsidR="006717C1" w:rsidRDefault="006717C1">
      <w:pPr>
        <w:pStyle w:val="ConsPlusCell"/>
        <w:jc w:val="both"/>
      </w:pPr>
      <w:r>
        <w:rPr>
          <w:sz w:val="18"/>
        </w:rPr>
        <w:t xml:space="preserve">│  усмотрения или возможность необоснованного применения исключений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общих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                               правил          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├─────┬─────────────────────────────────────────────┬──────────────────────────┤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lastRenderedPageBreak/>
        <w:t>│ 1.  │Широта дискреционных полномочий        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t>│ 2.  │Определение компетенции по формуле "вправе"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t>│ 3.  │Выборочное изменение объема прав       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t xml:space="preserve">│ 4.  │Чрезмерная свобода </w:t>
      </w:r>
      <w:proofErr w:type="gramStart"/>
      <w:r>
        <w:rPr>
          <w:sz w:val="18"/>
        </w:rPr>
        <w:t>подзаконного</w:t>
      </w:r>
      <w:proofErr w:type="gramEnd"/>
      <w:r>
        <w:rPr>
          <w:sz w:val="18"/>
        </w:rPr>
        <w:t xml:space="preserve">        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│нормотворчества                        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t xml:space="preserve">│ 5.  │Принятие нормативного правового акта </w:t>
      </w:r>
      <w:proofErr w:type="gramStart"/>
      <w:r>
        <w:rPr>
          <w:sz w:val="18"/>
        </w:rPr>
        <w:t>за</w:t>
      </w:r>
      <w:proofErr w:type="gramEnd"/>
      <w:r>
        <w:rPr>
          <w:sz w:val="18"/>
        </w:rPr>
        <w:t xml:space="preserve">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│пределами компетенции                  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t xml:space="preserve">│ 6.  │Заполнение законодательных пробелов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│помощи подзаконных актов в отсутствие  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 xml:space="preserve">│     │законодательной делегации </w:t>
      </w:r>
      <w:proofErr w:type="gramStart"/>
      <w:r>
        <w:rPr>
          <w:sz w:val="18"/>
        </w:rPr>
        <w:t>соответствующих</w:t>
      </w:r>
      <w:proofErr w:type="gramEnd"/>
      <w:r>
        <w:rPr>
          <w:sz w:val="18"/>
        </w:rPr>
        <w:t xml:space="preserve">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│полномочий                             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t xml:space="preserve">│ 7.  │Отсутствие или неполнота </w:t>
      </w:r>
      <w:proofErr w:type="gramStart"/>
      <w:r>
        <w:rPr>
          <w:sz w:val="18"/>
        </w:rPr>
        <w:t>административных</w:t>
      </w:r>
      <w:proofErr w:type="gramEnd"/>
      <w:r>
        <w:rPr>
          <w:sz w:val="18"/>
        </w:rPr>
        <w:t xml:space="preserve">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│процедур                               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t>│ 8.  │Отказ от конкурсных (аукционных) процедур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├─────┴─────────────────────────────────────────────┴──────────────────────────┤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t>│ Факторы, содержащие неопределенные, трудновыполнимые и (или) обременительные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               требования к гражданам и организациям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├─────┬─────────────────────────────────────────────┬──────────────────────────┤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t>│ 9.  │Наличие завышенных требований к лицу,  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│</w:t>
      </w:r>
      <w:proofErr w:type="gramStart"/>
      <w:r>
        <w:rPr>
          <w:sz w:val="18"/>
        </w:rPr>
        <w:t>предъявляемых</w:t>
      </w:r>
      <w:proofErr w:type="gramEnd"/>
      <w:r>
        <w:rPr>
          <w:sz w:val="18"/>
        </w:rPr>
        <w:t xml:space="preserve"> для реализации принадлежащего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│ему права                              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t>│ 10. │Злоупотребление правом заявителя органами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│государственной власти или органами местного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│     │самоуправления (их должностными лицами)      │             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6717C1" w:rsidRDefault="006717C1">
      <w:pPr>
        <w:pStyle w:val="ConsPlusCell"/>
        <w:jc w:val="both"/>
      </w:pPr>
      <w:r>
        <w:rPr>
          <w:sz w:val="18"/>
        </w:rPr>
        <w:t>│ 11. │Юридико-лингвистическая неопределенность     │            "             │</w:t>
      </w:r>
    </w:p>
    <w:p w:rsidR="006717C1" w:rsidRDefault="006717C1">
      <w:pPr>
        <w:pStyle w:val="ConsPlusCell"/>
        <w:jc w:val="both"/>
      </w:pPr>
      <w:r>
        <w:rPr>
          <w:sz w:val="18"/>
        </w:rPr>
        <w:t>└─────┴─────────────────────────────────────────────┴──────────────────────────┘</w:t>
      </w:r>
    </w:p>
    <w:p w:rsidR="006717C1" w:rsidRDefault="006717C1">
      <w:pPr>
        <w:pStyle w:val="ConsPlusNormal"/>
        <w:jc w:val="right"/>
      </w:pPr>
    </w:p>
    <w:p w:rsidR="006717C1" w:rsidRDefault="006717C1">
      <w:pPr>
        <w:pStyle w:val="ConsPlusNormal"/>
        <w:jc w:val="right"/>
      </w:pPr>
      <w:r>
        <w:t>Президент</w:t>
      </w:r>
    </w:p>
    <w:p w:rsidR="006717C1" w:rsidRDefault="006717C1">
      <w:pPr>
        <w:pStyle w:val="ConsPlusNormal"/>
        <w:jc w:val="right"/>
      </w:pPr>
      <w:r>
        <w:t>Карачаево-Черкесской Республики</w:t>
      </w:r>
    </w:p>
    <w:p w:rsidR="006717C1" w:rsidRDefault="006717C1">
      <w:pPr>
        <w:pStyle w:val="ConsPlusNormal"/>
        <w:jc w:val="right"/>
      </w:pPr>
      <w:r>
        <w:t>Б.С.ЭБЗЕЕВ</w:t>
      </w:r>
    </w:p>
    <w:p w:rsidR="006717C1" w:rsidRDefault="006717C1">
      <w:pPr>
        <w:pStyle w:val="ConsPlusNormal"/>
        <w:jc w:val="both"/>
      </w:pPr>
      <w:r>
        <w:t>г. Черкесск</w:t>
      </w:r>
    </w:p>
    <w:p w:rsidR="006717C1" w:rsidRDefault="006717C1">
      <w:pPr>
        <w:pStyle w:val="ConsPlusNormal"/>
        <w:spacing w:before="220"/>
        <w:jc w:val="both"/>
      </w:pPr>
      <w:r>
        <w:t>Дом Правительства</w:t>
      </w:r>
    </w:p>
    <w:p w:rsidR="006717C1" w:rsidRDefault="006717C1">
      <w:pPr>
        <w:pStyle w:val="ConsPlusNormal"/>
        <w:spacing w:before="220"/>
        <w:jc w:val="both"/>
      </w:pPr>
      <w:r>
        <w:t>6 сентября 2010 года</w:t>
      </w:r>
    </w:p>
    <w:p w:rsidR="006717C1" w:rsidRDefault="006717C1">
      <w:pPr>
        <w:pStyle w:val="ConsPlusNormal"/>
        <w:spacing w:before="220"/>
        <w:jc w:val="both"/>
      </w:pPr>
      <w:r>
        <w:t>N 184</w:t>
      </w:r>
    </w:p>
    <w:p w:rsidR="006717C1" w:rsidRDefault="006717C1">
      <w:pPr>
        <w:pStyle w:val="ConsPlusNormal"/>
        <w:jc w:val="both"/>
      </w:pPr>
    </w:p>
    <w:p w:rsidR="006717C1" w:rsidRDefault="006717C1">
      <w:pPr>
        <w:pStyle w:val="ConsPlusNormal"/>
        <w:jc w:val="both"/>
      </w:pPr>
    </w:p>
    <w:p w:rsidR="006717C1" w:rsidRDefault="00671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823" w:rsidRDefault="000A6823">
      <w:bookmarkStart w:id="0" w:name="_GoBack"/>
      <w:bookmarkEnd w:id="0"/>
    </w:p>
    <w:sectPr w:rsidR="000A6823" w:rsidSect="009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C1"/>
    <w:rsid w:val="000A6823"/>
    <w:rsid w:val="0067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1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1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1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1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6C430E19E3CDC3886B2D5F858A846D7549B6136924C27CAF248DCFF4C21F0DF12B4733200940279157E6F4BAB54EDL8N" TargetMode="External"/><Relationship Id="rId13" Type="http://schemas.openxmlformats.org/officeDocument/2006/relationships/hyperlink" Target="consultantplus://offline/ref=6C56C430E19E3CDC3886B2D5F858A846D7549B6136924C27CAF248DCFF4C21F0DF12A6736A0C95016715787A1DFA11849E7D1EBF06693F5168FEE4LFN" TargetMode="External"/><Relationship Id="rId18" Type="http://schemas.openxmlformats.org/officeDocument/2006/relationships/hyperlink" Target="consultantplus://offline/ref=6C56C430E19E3CDC3886B2D5F858A846D7549B6136924C27CAF248DCFF4C21F0DF12A6736A0C950167177D7A1DFA11849E7D1EBF06693F5168FEE4LF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56C430E19E3CDC3886B2D5F858A846D7549B6136924C27CAF248DCFF4C21F0DF12A6736A0C950167107A7A1DFA11849E7D1EBF06693F5168FEE4LFN" TargetMode="External"/><Relationship Id="rId7" Type="http://schemas.openxmlformats.org/officeDocument/2006/relationships/hyperlink" Target="consultantplus://offline/ref=6C56C430E19E3CDC3886ACD8EE34F44CDC57C5643D9F1A7B95A9158BF64676A59013E8366413940079167F70E4L0N" TargetMode="External"/><Relationship Id="rId12" Type="http://schemas.openxmlformats.org/officeDocument/2006/relationships/hyperlink" Target="consultantplus://offline/ref=6C56C430E19E3CDC3886B2D5F858A846D7549B6136924C27CAF248DCFF4C21F0DF12A6736A0C95016714787A1DFA11849E7D1EBF06693F5168FEE4LFN" TargetMode="External"/><Relationship Id="rId17" Type="http://schemas.openxmlformats.org/officeDocument/2006/relationships/hyperlink" Target="consultantplus://offline/ref=6C56C430E19E3CDC3886B2D5F858A846D7549B6136924C27CAF248DCFF4C21F0DF12A6736A0C95016717777A1DFA11849E7D1EBF06693F5168FEE4LFN" TargetMode="External"/><Relationship Id="rId25" Type="http://schemas.openxmlformats.org/officeDocument/2006/relationships/hyperlink" Target="consultantplus://offline/ref=6C56C430E19E3CDC3886B2D5F858A846D7549B6136924C27CAF248DCFF4C21F0DF12A6736A0C950167157C7A1DFA11849E7D1EBF06693F5168FEE4L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56C430E19E3CDC3886B2D5F858A846D7549B6136924C27CAF248DCFF4C21F0DF12A6736A0C950167177E7A1DFA11849E7D1EBF06693F5168FEE4LFN" TargetMode="External"/><Relationship Id="rId20" Type="http://schemas.openxmlformats.org/officeDocument/2006/relationships/hyperlink" Target="consultantplus://offline/ref=6C56C430E19E3CDC3886B2D5F858A846D7549B6136924C27CAF248DCFF4C21F0DF12A6736A0C950167107E7A1DFA11849E7D1EBF06693F5168FEE4L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6C430E19E3CDC3886ACD8EE34F44CDD56C069369F1A7B95A9158BF64676A59013E8366413940079167F70E4L0N" TargetMode="External"/><Relationship Id="rId11" Type="http://schemas.openxmlformats.org/officeDocument/2006/relationships/hyperlink" Target="consultantplus://offline/ref=6C56C430E19E3CDC3886B2D5F858A846D7549B6136924C27CAF248DCFF4C21F0DF12A6736A0C95016714797A1DFA11849E7D1EBF06693F5168FEE4LFN" TargetMode="External"/><Relationship Id="rId24" Type="http://schemas.openxmlformats.org/officeDocument/2006/relationships/hyperlink" Target="consultantplus://offline/ref=6C56C430E19E3CDC3886B2D5F858A846D7549B6136924C27CAF248DCFF4C21F0DF12A6736A0C950167117C7A1DFA11849E7D1EBF06693F5168FEE4L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56C430E19E3CDC3886B2D5F858A846D7549B6136924C27CAF248DCFF4C21F0DF12A6736A0C950167167C7A1DFA11849E7D1EBF06693F5168FEE4LFN" TargetMode="External"/><Relationship Id="rId23" Type="http://schemas.openxmlformats.org/officeDocument/2006/relationships/hyperlink" Target="consultantplus://offline/ref=6C56C430E19E3CDC3886B2D5F858A846D7549B6136924C27CAF248DCFF4C21F0DF12A6736A0C950167117F7A1DFA11849E7D1EBF06693F5168FEE4LFN" TargetMode="External"/><Relationship Id="rId10" Type="http://schemas.openxmlformats.org/officeDocument/2006/relationships/hyperlink" Target="consultantplus://offline/ref=6C56C430E19E3CDC3886B2D5F858A846D7549B6136924C27CAF248DCFF4C21F0DF12A6736A0C950167147A7A1DFA11849E7D1EBF06693F5168FEE4LFN" TargetMode="External"/><Relationship Id="rId19" Type="http://schemas.openxmlformats.org/officeDocument/2006/relationships/hyperlink" Target="consultantplus://offline/ref=6C56C430E19E3CDC3886B2D5F858A846D7549B6136924C27CAF248DCFF4C21F0DF12A6736A0C950167107F7A1DFA11849E7D1EBF06693F5168FEE4L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56C430E19E3CDC3886B2D5F858A846D7549B6136924C27CAF248DCFF4C21F0DF12A6736A0C950167147B7A1DFA11849E7D1EBF06693F5168FEE4LFN" TargetMode="External"/><Relationship Id="rId14" Type="http://schemas.openxmlformats.org/officeDocument/2006/relationships/hyperlink" Target="consultantplus://offline/ref=6C56C430E19E3CDC3886B2D5F858A846D7549B6136924C27CAF248DCFF4C21F0DF12A6736A0C95016715767A1DFA11849E7D1EBF06693F5168FEE4LFN" TargetMode="External"/><Relationship Id="rId22" Type="http://schemas.openxmlformats.org/officeDocument/2006/relationships/hyperlink" Target="consultantplus://offline/ref=6C56C430E19E3CDC3886B2D5F858A846D7549B6136924C27CAF248DCFF4C21F0DF12A6736A0C95016710787A1DFA11849E7D1EBF06693F5168FEE4LF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2019-11-13T13:11:00Z</dcterms:created>
  <dcterms:modified xsi:type="dcterms:W3CDTF">2019-11-13T13:11:00Z</dcterms:modified>
</cp:coreProperties>
</file>